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F2" w:rsidRPr="00C85847" w:rsidRDefault="00567D7F" w:rsidP="00567D7F">
      <w:pPr>
        <w:pStyle w:val="a4"/>
        <w:jc w:val="center"/>
        <w:rPr>
          <w:b/>
          <w:lang w:val="kk-KZ"/>
        </w:rPr>
      </w:pPr>
      <w:r w:rsidRPr="001A6747">
        <w:rPr>
          <w:b/>
          <w:lang w:val="kk-KZ"/>
        </w:rPr>
        <w:t xml:space="preserve">  </w:t>
      </w:r>
      <w:r w:rsidR="00B768F2" w:rsidRPr="00C85847">
        <w:rPr>
          <w:b/>
          <w:lang w:val="kk-KZ"/>
        </w:rPr>
        <w:t>«</w:t>
      </w:r>
      <w:r w:rsidR="000E4FEA" w:rsidRPr="00C85847">
        <w:rPr>
          <w:b/>
          <w:lang w:val="kk-KZ"/>
        </w:rPr>
        <w:t>ӘЛЕУМЕТТІК-ПЕДАГОГИКАЛЫҚ ВИКТИМОЛОГИЯ БОЙЫНША КЕҢЕС БЕРУ</w:t>
      </w:r>
      <w:r w:rsidR="00B768F2" w:rsidRPr="00C85847">
        <w:rPr>
          <w:b/>
          <w:lang w:val="kk-KZ"/>
        </w:rPr>
        <w:t xml:space="preserve">» </w:t>
      </w:r>
      <w:r w:rsidR="00C85847" w:rsidRPr="00C85847">
        <w:rPr>
          <w:b/>
          <w:lang w:val="kk-KZ"/>
        </w:rPr>
        <w:t xml:space="preserve">ПӘНІ БОЙЫНША МӨЖ ОРЫНДАУ  </w:t>
      </w:r>
      <w:r w:rsidR="00C85847">
        <w:rPr>
          <w:b/>
          <w:lang w:val="kk-KZ"/>
        </w:rPr>
        <w:t xml:space="preserve"> ҮШІН </w:t>
      </w:r>
      <w:r w:rsidR="00C85847" w:rsidRPr="00C85847">
        <w:rPr>
          <w:b/>
          <w:lang w:val="kk-KZ"/>
        </w:rPr>
        <w:t>ӘДІСТЕМЕЛІК ҰСЫНЫСТАР</w:t>
      </w:r>
    </w:p>
    <w:p w:rsidR="00B768F2" w:rsidRPr="001A6747" w:rsidRDefault="00B768F2" w:rsidP="00B768F2">
      <w:pPr>
        <w:jc w:val="both"/>
        <w:rPr>
          <w:lang w:val="kk-KZ"/>
        </w:rPr>
      </w:pPr>
    </w:p>
    <w:p w:rsidR="00E1784A" w:rsidRPr="00E1784A" w:rsidRDefault="00C16E04" w:rsidP="00E1784A">
      <w:pPr>
        <w:jc w:val="both"/>
        <w:rPr>
          <w:lang w:val="kk-KZ"/>
        </w:rPr>
      </w:pPr>
      <w:r w:rsidRPr="001A6747">
        <w:rPr>
          <w:b/>
          <w:lang w:val="kk-KZ"/>
        </w:rPr>
        <w:t xml:space="preserve">      </w:t>
      </w:r>
      <w:r w:rsidR="00B768F2" w:rsidRPr="00E1784A">
        <w:rPr>
          <w:b/>
          <w:lang w:val="kk-KZ"/>
        </w:rPr>
        <w:t>МӨЖ</w:t>
      </w:r>
      <w:r w:rsidR="007E35A0" w:rsidRPr="00E1784A">
        <w:rPr>
          <w:b/>
          <w:lang w:val="kk-KZ"/>
        </w:rPr>
        <w:t>-1</w:t>
      </w:r>
      <w:r w:rsidR="00B768F2" w:rsidRPr="00E1784A">
        <w:rPr>
          <w:b/>
          <w:i/>
          <w:lang w:val="kk-KZ"/>
        </w:rPr>
        <w:t>.</w:t>
      </w:r>
      <w:r w:rsidR="00B768F2" w:rsidRPr="00E1784A">
        <w:rPr>
          <w:i/>
          <w:lang w:val="kk-KZ"/>
        </w:rPr>
        <w:t xml:space="preserve"> </w:t>
      </w:r>
      <w:r w:rsidR="00B768F2" w:rsidRPr="00E1784A">
        <w:rPr>
          <w:rFonts w:ascii="KZ Times New Roman" w:hAnsi="KZ Times New Roman"/>
          <w:b/>
          <w:i/>
          <w:lang w:val="kk-KZ" w:eastAsia="ko-KR"/>
        </w:rPr>
        <w:t>«В</w:t>
      </w:r>
      <w:r w:rsidR="00B768F2" w:rsidRPr="00E1784A">
        <w:rPr>
          <w:b/>
          <w:i/>
          <w:lang w:val="kk-KZ"/>
        </w:rPr>
        <w:t>иктимология»</w:t>
      </w:r>
      <w:r w:rsidR="00B768F2" w:rsidRPr="00E1784A">
        <w:rPr>
          <w:b/>
          <w:lang w:val="kk-KZ"/>
        </w:rPr>
        <w:t xml:space="preserve">  ұғымдары  бойынша глоссарий  құрастыру</w:t>
      </w:r>
      <w:r w:rsidR="000E4FEA" w:rsidRPr="00E1784A">
        <w:rPr>
          <w:b/>
          <w:lang w:val="kk-KZ"/>
        </w:rPr>
        <w:t>»</w:t>
      </w:r>
      <w:r w:rsidR="00B768F2" w:rsidRPr="00E1784A">
        <w:rPr>
          <w:lang w:val="kk-KZ"/>
        </w:rPr>
        <w:t xml:space="preserve"> атты тапсырманы орындау үшін  </w:t>
      </w:r>
      <w:r w:rsidR="000E4FEA" w:rsidRPr="00E1784A">
        <w:rPr>
          <w:lang w:val="kk-KZ"/>
        </w:rPr>
        <w:t xml:space="preserve">магистранттар </w:t>
      </w:r>
      <w:r w:rsidR="00B768F2" w:rsidRPr="00E1784A">
        <w:rPr>
          <w:lang w:val="kk-KZ"/>
        </w:rPr>
        <w:t xml:space="preserve">   аталған ұғымға  берілген анықтамалары «Педагогика және психология»</w:t>
      </w:r>
      <w:r w:rsidR="000E4FEA" w:rsidRPr="00E1784A">
        <w:rPr>
          <w:lang w:val="kk-KZ"/>
        </w:rPr>
        <w:t xml:space="preserve">, «Криминология» </w:t>
      </w:r>
      <w:r w:rsidR="00B768F2" w:rsidRPr="00E1784A">
        <w:rPr>
          <w:lang w:val="kk-KZ"/>
        </w:rPr>
        <w:t xml:space="preserve"> салалық түсіндірме сөзді</w:t>
      </w:r>
      <w:r w:rsidR="000E4FEA" w:rsidRPr="00E1784A">
        <w:rPr>
          <w:lang w:val="kk-KZ"/>
        </w:rPr>
        <w:t xml:space="preserve">ктерінен </w:t>
      </w:r>
      <w:r w:rsidR="00B768F2" w:rsidRPr="00E1784A">
        <w:rPr>
          <w:lang w:val="kk-KZ"/>
        </w:rPr>
        <w:t>және басқа сөздіктерде</w:t>
      </w:r>
      <w:r w:rsidR="007E35A0" w:rsidRPr="00E1784A">
        <w:rPr>
          <w:lang w:val="kk-KZ"/>
        </w:rPr>
        <w:t xml:space="preserve">н тауып </w:t>
      </w:r>
      <w:r w:rsidR="00B768F2" w:rsidRPr="00E1784A">
        <w:rPr>
          <w:lang w:val="kk-KZ"/>
        </w:rPr>
        <w:t xml:space="preserve"> </w:t>
      </w:r>
      <w:r w:rsidR="000E4FEA" w:rsidRPr="00E1784A">
        <w:rPr>
          <w:lang w:val="kk-KZ"/>
        </w:rPr>
        <w:t xml:space="preserve">жинақтайды. </w:t>
      </w:r>
      <w:r w:rsidRPr="00E1784A">
        <w:rPr>
          <w:lang w:val="kk-KZ"/>
        </w:rPr>
        <w:t xml:space="preserve">Силлабуста көрсетілген әдебиеттерді оқып, берілген анықтамаларды жазу қажет. Әр терминнің мағынасын ашу үшін нақты оқулықтың атауы, авторы, шыққан жылы т.б толық көрсетілуі шарт. </w:t>
      </w:r>
    </w:p>
    <w:p w:rsidR="00E1784A" w:rsidRPr="00E1784A" w:rsidRDefault="00C16E04" w:rsidP="00E1784A">
      <w:pPr>
        <w:jc w:val="both"/>
        <w:rPr>
          <w:b/>
          <w:lang w:val="kk-KZ"/>
        </w:rPr>
      </w:pPr>
      <w:r w:rsidRPr="00E1784A">
        <w:rPr>
          <w:lang w:val="kk-KZ"/>
        </w:rPr>
        <w:t xml:space="preserve"> </w:t>
      </w:r>
      <w:r w:rsidR="00E1784A" w:rsidRPr="00E1784A">
        <w:rPr>
          <w:b/>
          <w:lang w:val="kk-KZ"/>
        </w:rPr>
        <w:t xml:space="preserve">Орындау талаптары </w:t>
      </w:r>
    </w:p>
    <w:p w:rsidR="00E1784A" w:rsidRPr="00E1784A" w:rsidRDefault="00E1784A" w:rsidP="00E1784A">
      <w:pPr>
        <w:pStyle w:val="a5"/>
        <w:numPr>
          <w:ilvl w:val="0"/>
          <w:numId w:val="3"/>
        </w:numPr>
        <w:spacing w:after="160" w:line="254" w:lineRule="auto"/>
        <w:jc w:val="both"/>
        <w:rPr>
          <w:rFonts w:ascii="Times New Roman" w:hAnsi="Times New Roman"/>
          <w:sz w:val="24"/>
          <w:szCs w:val="24"/>
          <w:lang w:val="kk-KZ"/>
        </w:rPr>
      </w:pPr>
      <w:r>
        <w:rPr>
          <w:rFonts w:ascii="Times New Roman" w:hAnsi="Times New Roman"/>
          <w:sz w:val="24"/>
          <w:szCs w:val="24"/>
          <w:lang w:val="kk-KZ"/>
        </w:rPr>
        <w:t>Ә</w:t>
      </w:r>
      <w:r w:rsidRPr="00E1784A">
        <w:rPr>
          <w:rFonts w:ascii="Times New Roman" w:hAnsi="Times New Roman"/>
          <w:sz w:val="24"/>
          <w:szCs w:val="24"/>
          <w:lang w:val="kk-KZ"/>
        </w:rPr>
        <w:t xml:space="preserve">леуметтік-педагогикалық виктимологиялық   ұғымдарға  оқулықтарда берілген анықтамаларды жинақтап, мына үлгі бойынша кестені толтыру қажет.Анықтамалар саны көбірек болған сайын балл да өседі. </w:t>
      </w:r>
    </w:p>
    <w:p w:rsidR="00E1784A" w:rsidRPr="003B1E2B" w:rsidRDefault="00E1784A" w:rsidP="00E1784A">
      <w:pPr>
        <w:pStyle w:val="a5"/>
        <w:numPr>
          <w:ilvl w:val="0"/>
          <w:numId w:val="3"/>
        </w:numPr>
        <w:spacing w:after="160" w:line="254" w:lineRule="auto"/>
        <w:jc w:val="both"/>
        <w:rPr>
          <w:rFonts w:ascii="Times New Roman" w:hAnsi="Times New Roman"/>
          <w:b/>
          <w:sz w:val="24"/>
          <w:szCs w:val="24"/>
          <w:lang w:val="kk-KZ"/>
        </w:rPr>
      </w:pPr>
      <w:r w:rsidRPr="00E1784A">
        <w:rPr>
          <w:rFonts w:ascii="Times New Roman" w:hAnsi="Times New Roman"/>
          <w:sz w:val="24"/>
          <w:szCs w:val="24"/>
          <w:lang w:val="kk-KZ"/>
        </w:rPr>
        <w:t xml:space="preserve">Минималды сан  мөлшері   4-5    ұғымның анықтамасын жазу. </w:t>
      </w:r>
    </w:p>
    <w:p w:rsidR="003B1E2B" w:rsidRPr="003B1E2B" w:rsidRDefault="003B1E2B" w:rsidP="003B1E2B">
      <w:pPr>
        <w:spacing w:after="160" w:line="254" w:lineRule="auto"/>
        <w:ind w:left="360"/>
        <w:jc w:val="both"/>
        <w:rPr>
          <w:b/>
          <w:lang w:val="kk-KZ"/>
        </w:rPr>
      </w:pPr>
      <w:r w:rsidRPr="003B1E2B">
        <w:rPr>
          <w:b/>
          <w:lang w:val="kk-KZ"/>
        </w:rPr>
        <w:t xml:space="preserve">Үлгі: </w:t>
      </w:r>
      <w:bookmarkStart w:id="0" w:name="_GoBack"/>
      <w:bookmarkEnd w:id="0"/>
    </w:p>
    <w:tbl>
      <w:tblPr>
        <w:tblStyle w:val="a7"/>
        <w:tblW w:w="9923" w:type="dxa"/>
        <w:tblInd w:w="-289" w:type="dxa"/>
        <w:tblLook w:val="04A0" w:firstRow="1" w:lastRow="0" w:firstColumn="1" w:lastColumn="0" w:noHBand="0" w:noVBand="1"/>
      </w:tblPr>
      <w:tblGrid>
        <w:gridCol w:w="5926"/>
        <w:gridCol w:w="3997"/>
      </w:tblGrid>
      <w:tr w:rsidR="00E1784A" w:rsidRPr="003B1E2B" w:rsidTr="00685394">
        <w:tc>
          <w:tcPr>
            <w:tcW w:w="5926" w:type="dxa"/>
            <w:tcBorders>
              <w:top w:val="single" w:sz="4" w:space="0" w:color="auto"/>
              <w:left w:val="single" w:sz="4" w:space="0" w:color="auto"/>
              <w:bottom w:val="single" w:sz="4" w:space="0" w:color="auto"/>
              <w:right w:val="single" w:sz="4" w:space="0" w:color="auto"/>
            </w:tcBorders>
            <w:hideMark/>
          </w:tcPr>
          <w:p w:rsidR="00E1784A" w:rsidRPr="00896EC2" w:rsidRDefault="00E1784A" w:rsidP="00DC1D0E">
            <w:pPr>
              <w:rPr>
                <w:b/>
                <w:lang w:val="kk-KZ"/>
              </w:rPr>
            </w:pPr>
            <w:r>
              <w:rPr>
                <w:lang w:val="kk-KZ"/>
              </w:rPr>
              <w:tab/>
            </w:r>
            <w:r w:rsidRPr="00896EC2">
              <w:rPr>
                <w:b/>
                <w:lang w:val="kk-KZ"/>
              </w:rPr>
              <w:t xml:space="preserve">Ұғымның анықтамасы </w:t>
            </w:r>
          </w:p>
        </w:tc>
        <w:tc>
          <w:tcPr>
            <w:tcW w:w="3997" w:type="dxa"/>
            <w:tcBorders>
              <w:top w:val="single" w:sz="4" w:space="0" w:color="auto"/>
              <w:left w:val="single" w:sz="4" w:space="0" w:color="auto"/>
              <w:bottom w:val="single" w:sz="4" w:space="0" w:color="auto"/>
              <w:right w:val="single" w:sz="4" w:space="0" w:color="auto"/>
            </w:tcBorders>
            <w:hideMark/>
          </w:tcPr>
          <w:p w:rsidR="00E1784A" w:rsidRPr="00896EC2" w:rsidRDefault="00E1784A" w:rsidP="00DC1D0E">
            <w:pPr>
              <w:rPr>
                <w:b/>
                <w:lang w:val="kk-KZ"/>
              </w:rPr>
            </w:pPr>
            <w:r w:rsidRPr="00896EC2">
              <w:rPr>
                <w:b/>
                <w:lang w:val="kk-KZ"/>
              </w:rPr>
              <w:t xml:space="preserve">Пайдаланған оқулықтың атауы, авторы, шыққан жылы, алынған беті </w:t>
            </w:r>
          </w:p>
          <w:p w:rsidR="00E1784A" w:rsidRPr="00896EC2" w:rsidRDefault="00E1784A" w:rsidP="00E1784A">
            <w:pPr>
              <w:rPr>
                <w:b/>
                <w:lang w:val="kk-KZ"/>
              </w:rPr>
            </w:pPr>
            <w:r w:rsidRPr="00896EC2">
              <w:rPr>
                <w:b/>
                <w:lang w:val="kk-KZ"/>
              </w:rPr>
              <w:t xml:space="preserve">  </w:t>
            </w:r>
          </w:p>
        </w:tc>
      </w:tr>
      <w:tr w:rsidR="00E1784A" w:rsidRPr="00896EC2" w:rsidTr="00685394">
        <w:tc>
          <w:tcPr>
            <w:tcW w:w="5926" w:type="dxa"/>
            <w:tcBorders>
              <w:top w:val="single" w:sz="4" w:space="0" w:color="auto"/>
              <w:left w:val="single" w:sz="4" w:space="0" w:color="auto"/>
              <w:bottom w:val="single" w:sz="4" w:space="0" w:color="auto"/>
              <w:right w:val="single" w:sz="4" w:space="0" w:color="auto"/>
            </w:tcBorders>
            <w:hideMark/>
          </w:tcPr>
          <w:p w:rsidR="00E1784A" w:rsidRPr="00685394" w:rsidRDefault="00EB7C0C" w:rsidP="00DC1D0E">
            <w:pPr>
              <w:rPr>
                <w:i/>
                <w:lang w:val="kk-KZ"/>
              </w:rPr>
            </w:pPr>
            <w:r w:rsidRPr="00685394">
              <w:rPr>
                <w:i/>
                <w:lang w:val="kk-KZ"/>
              </w:rPr>
              <w:t>Социально-педагогическая виктимология – составная часть социальной педагогики, изучающая различные категории людей, реальных или потенциальных жертв неблагоприятных условий социализации.</w:t>
            </w:r>
          </w:p>
        </w:tc>
        <w:tc>
          <w:tcPr>
            <w:tcW w:w="3997" w:type="dxa"/>
            <w:tcBorders>
              <w:top w:val="single" w:sz="4" w:space="0" w:color="auto"/>
              <w:left w:val="single" w:sz="4" w:space="0" w:color="auto"/>
              <w:bottom w:val="single" w:sz="4" w:space="0" w:color="auto"/>
              <w:right w:val="single" w:sz="4" w:space="0" w:color="auto"/>
            </w:tcBorders>
            <w:hideMark/>
          </w:tcPr>
          <w:p w:rsidR="00685394" w:rsidRPr="00685394" w:rsidRDefault="00685394" w:rsidP="00685394">
            <w:pPr>
              <w:shd w:val="clear" w:color="auto" w:fill="FFFFFF"/>
              <w:spacing w:after="100" w:afterAutospacing="1" w:line="216" w:lineRule="atLeast"/>
              <w:jc w:val="both"/>
              <w:rPr>
                <w:b/>
                <w:bCs/>
                <w:lang w:val="kk-KZ"/>
              </w:rPr>
            </w:pPr>
            <w:r w:rsidRPr="00685394">
              <w:rPr>
                <w:lang w:val="kk-KZ"/>
              </w:rPr>
              <w:t xml:space="preserve">Журлова, И. В.  Социально-педагогическая виктимология : курс лекций / И. В. Журлова. – Мозырь : УО МГПУ им. И. П. Шамякина, 2010. – 172 с.   </w:t>
            </w:r>
          </w:p>
          <w:p w:rsidR="00E1784A" w:rsidRPr="00896EC2" w:rsidRDefault="00E1784A" w:rsidP="00685394">
            <w:pPr>
              <w:shd w:val="clear" w:color="auto" w:fill="FFFFFF"/>
              <w:spacing w:after="100" w:afterAutospacing="1" w:line="216" w:lineRule="atLeast"/>
              <w:jc w:val="both"/>
              <w:rPr>
                <w:lang w:val="kk-KZ"/>
              </w:rPr>
            </w:pPr>
          </w:p>
        </w:tc>
      </w:tr>
      <w:tr w:rsidR="00E1784A" w:rsidRPr="00224199" w:rsidTr="00685394">
        <w:tc>
          <w:tcPr>
            <w:tcW w:w="5926" w:type="dxa"/>
            <w:tcBorders>
              <w:top w:val="single" w:sz="4" w:space="0" w:color="auto"/>
              <w:left w:val="single" w:sz="4" w:space="0" w:color="auto"/>
              <w:bottom w:val="single" w:sz="4" w:space="0" w:color="auto"/>
              <w:right w:val="single" w:sz="4" w:space="0" w:color="auto"/>
            </w:tcBorders>
          </w:tcPr>
          <w:p w:rsidR="00224199" w:rsidRPr="00224199" w:rsidRDefault="00224199" w:rsidP="00224199">
            <w:pPr>
              <w:jc w:val="both"/>
              <w:rPr>
                <w:lang w:val="kk-KZ"/>
              </w:rPr>
            </w:pPr>
            <w:r w:rsidRPr="00224199">
              <w:rPr>
                <w:i/>
                <w:lang w:val="kk-KZ"/>
              </w:rPr>
              <w:t>Виктимділік – адамның құрбан болуға дайын тұруы немесе соған шалдығуға жақындығы</w:t>
            </w:r>
          </w:p>
          <w:p w:rsidR="00E1784A" w:rsidRPr="00224199" w:rsidRDefault="00E1784A" w:rsidP="00DC1D0E">
            <w:pPr>
              <w:rPr>
                <w:b/>
                <w:lang w:val="kk-KZ"/>
              </w:rPr>
            </w:pPr>
          </w:p>
        </w:tc>
        <w:tc>
          <w:tcPr>
            <w:tcW w:w="3997" w:type="dxa"/>
            <w:tcBorders>
              <w:top w:val="single" w:sz="4" w:space="0" w:color="auto"/>
              <w:left w:val="single" w:sz="4" w:space="0" w:color="auto"/>
              <w:bottom w:val="single" w:sz="4" w:space="0" w:color="auto"/>
              <w:right w:val="single" w:sz="4" w:space="0" w:color="auto"/>
            </w:tcBorders>
          </w:tcPr>
          <w:p w:rsidR="00E1784A" w:rsidRPr="00224199" w:rsidRDefault="00224199" w:rsidP="00224199">
            <w:pPr>
              <w:rPr>
                <w:lang w:val="kk-KZ"/>
              </w:rPr>
            </w:pPr>
            <w:r w:rsidRPr="00224199">
              <w:rPr>
                <w:lang w:val="kk-KZ"/>
              </w:rPr>
              <w:t>Халитова І.Әлеуметтік педагогика</w:t>
            </w:r>
            <w:r>
              <w:rPr>
                <w:lang w:val="kk-KZ"/>
              </w:rPr>
              <w:t>:Оқу құралы.</w:t>
            </w:r>
            <w:r w:rsidRPr="00224199">
              <w:rPr>
                <w:lang w:val="kk-KZ"/>
              </w:rPr>
              <w:t xml:space="preserve"> </w:t>
            </w:r>
            <w:r>
              <w:rPr>
                <w:lang w:val="kk-KZ"/>
              </w:rPr>
              <w:t xml:space="preserve">Алматы: «Білім» баспасы, 2007.-200 бет </w:t>
            </w:r>
          </w:p>
        </w:tc>
      </w:tr>
      <w:tr w:rsidR="00E1784A" w:rsidRPr="00224199" w:rsidTr="00685394">
        <w:tc>
          <w:tcPr>
            <w:tcW w:w="5926" w:type="dxa"/>
            <w:tcBorders>
              <w:top w:val="single" w:sz="4" w:space="0" w:color="auto"/>
              <w:left w:val="single" w:sz="4" w:space="0" w:color="auto"/>
              <w:bottom w:val="single" w:sz="4" w:space="0" w:color="auto"/>
              <w:right w:val="single" w:sz="4" w:space="0" w:color="auto"/>
            </w:tcBorders>
          </w:tcPr>
          <w:p w:rsidR="00E1784A" w:rsidRPr="00896EC2" w:rsidRDefault="00E1784A" w:rsidP="00DC1D0E">
            <w:pPr>
              <w:rPr>
                <w:b/>
                <w:lang w:val="kk-KZ"/>
              </w:rPr>
            </w:pPr>
          </w:p>
        </w:tc>
        <w:tc>
          <w:tcPr>
            <w:tcW w:w="3997" w:type="dxa"/>
            <w:tcBorders>
              <w:top w:val="single" w:sz="4" w:space="0" w:color="auto"/>
              <w:left w:val="single" w:sz="4" w:space="0" w:color="auto"/>
              <w:bottom w:val="single" w:sz="4" w:space="0" w:color="auto"/>
              <w:right w:val="single" w:sz="4" w:space="0" w:color="auto"/>
            </w:tcBorders>
          </w:tcPr>
          <w:p w:rsidR="00E1784A" w:rsidRPr="00896EC2" w:rsidRDefault="00E1784A" w:rsidP="00DC1D0E">
            <w:pPr>
              <w:rPr>
                <w:lang w:val="kk-KZ"/>
              </w:rPr>
            </w:pPr>
          </w:p>
        </w:tc>
      </w:tr>
      <w:tr w:rsidR="00224199" w:rsidRPr="00224199" w:rsidTr="00685394">
        <w:tc>
          <w:tcPr>
            <w:tcW w:w="5926" w:type="dxa"/>
            <w:tcBorders>
              <w:top w:val="single" w:sz="4" w:space="0" w:color="auto"/>
              <w:left w:val="single" w:sz="4" w:space="0" w:color="auto"/>
              <w:bottom w:val="single" w:sz="4" w:space="0" w:color="auto"/>
              <w:right w:val="single" w:sz="4" w:space="0" w:color="auto"/>
            </w:tcBorders>
          </w:tcPr>
          <w:p w:rsidR="00224199" w:rsidRPr="00896EC2" w:rsidRDefault="00224199" w:rsidP="00DC1D0E">
            <w:pPr>
              <w:rPr>
                <w:b/>
                <w:lang w:val="kk-KZ"/>
              </w:rPr>
            </w:pPr>
          </w:p>
        </w:tc>
        <w:tc>
          <w:tcPr>
            <w:tcW w:w="3997" w:type="dxa"/>
            <w:tcBorders>
              <w:top w:val="single" w:sz="4" w:space="0" w:color="auto"/>
              <w:left w:val="single" w:sz="4" w:space="0" w:color="auto"/>
              <w:bottom w:val="single" w:sz="4" w:space="0" w:color="auto"/>
              <w:right w:val="single" w:sz="4" w:space="0" w:color="auto"/>
            </w:tcBorders>
          </w:tcPr>
          <w:p w:rsidR="00224199" w:rsidRPr="00896EC2" w:rsidRDefault="00224199" w:rsidP="00DC1D0E">
            <w:pPr>
              <w:rPr>
                <w:lang w:val="kk-KZ"/>
              </w:rPr>
            </w:pPr>
          </w:p>
        </w:tc>
      </w:tr>
    </w:tbl>
    <w:p w:rsidR="00685394" w:rsidRDefault="00685394" w:rsidP="00685394">
      <w:pPr>
        <w:shd w:val="clear" w:color="auto" w:fill="FFFFFF"/>
        <w:tabs>
          <w:tab w:val="left" w:pos="1332"/>
        </w:tabs>
        <w:spacing w:after="100" w:afterAutospacing="1" w:line="216" w:lineRule="atLeast"/>
        <w:jc w:val="both"/>
        <w:rPr>
          <w:lang w:val="kk-KZ"/>
        </w:rPr>
      </w:pPr>
    </w:p>
    <w:p w:rsidR="00054D34" w:rsidRPr="001A6747" w:rsidRDefault="00C16E04" w:rsidP="00685394">
      <w:pPr>
        <w:shd w:val="clear" w:color="auto" w:fill="FFFFFF"/>
        <w:tabs>
          <w:tab w:val="left" w:pos="1332"/>
        </w:tabs>
        <w:spacing w:after="100" w:afterAutospacing="1" w:line="216" w:lineRule="atLeast"/>
        <w:jc w:val="both"/>
        <w:rPr>
          <w:lang w:val="kk-KZ" w:eastAsia="ko-KR"/>
        </w:rPr>
      </w:pPr>
      <w:r w:rsidRPr="001A6747">
        <w:rPr>
          <w:b/>
          <w:lang w:val="kk-KZ"/>
        </w:rPr>
        <w:t xml:space="preserve"> </w:t>
      </w:r>
      <w:r w:rsidR="00685394">
        <w:rPr>
          <w:b/>
          <w:lang w:val="kk-KZ"/>
        </w:rPr>
        <w:t xml:space="preserve">    </w:t>
      </w:r>
      <w:r w:rsidR="00B768F2" w:rsidRPr="001A6747">
        <w:rPr>
          <w:b/>
          <w:lang w:val="kk-KZ"/>
        </w:rPr>
        <w:t>МӨЖ</w:t>
      </w:r>
      <w:r w:rsidR="007E35A0" w:rsidRPr="001A6747">
        <w:rPr>
          <w:b/>
          <w:lang w:val="kk-KZ"/>
        </w:rPr>
        <w:t>-2</w:t>
      </w:r>
      <w:r w:rsidR="00B768F2" w:rsidRPr="001A6747">
        <w:rPr>
          <w:b/>
          <w:lang w:val="kk-KZ"/>
        </w:rPr>
        <w:t>.</w:t>
      </w:r>
      <w:r w:rsidR="006F1C6D" w:rsidRPr="001A6747">
        <w:rPr>
          <w:b/>
          <w:lang w:val="kk-KZ"/>
        </w:rPr>
        <w:t xml:space="preserve">  «</w:t>
      </w:r>
      <w:r w:rsidR="007E35A0" w:rsidRPr="001A6747">
        <w:rPr>
          <w:b/>
          <w:lang w:val="kk-KZ"/>
        </w:rPr>
        <w:t>Виктимдік  – адамның қоғамдық жағымсыз жағдайларға үйірсек және жақын болуы»</w:t>
      </w:r>
      <w:r w:rsidR="005A7A7C" w:rsidRPr="001A6747">
        <w:rPr>
          <w:b/>
          <w:lang w:val="kk-KZ"/>
        </w:rPr>
        <w:t xml:space="preserve">  </w:t>
      </w:r>
      <w:r w:rsidR="005A7A7C" w:rsidRPr="001A6747">
        <w:rPr>
          <w:lang w:val="kk-KZ"/>
        </w:rPr>
        <w:t xml:space="preserve">тақырыбына </w:t>
      </w:r>
      <w:r w:rsidRPr="001A6747">
        <w:rPr>
          <w:lang w:val="kk-KZ"/>
        </w:rPr>
        <w:t>о</w:t>
      </w:r>
      <w:r w:rsidR="005A7A7C" w:rsidRPr="001A6747">
        <w:rPr>
          <w:lang w:val="kk-KZ"/>
        </w:rPr>
        <w:t>йбөліс</w:t>
      </w:r>
      <w:r w:rsidR="005A7A7C" w:rsidRPr="001A6747">
        <w:rPr>
          <w:b/>
          <w:lang w:val="kk-KZ"/>
        </w:rPr>
        <w:t xml:space="preserve"> (</w:t>
      </w:r>
      <w:r w:rsidR="005A7A7C" w:rsidRPr="001A6747">
        <w:rPr>
          <w:lang w:val="kk-KZ"/>
        </w:rPr>
        <w:t>дебат</w:t>
      </w:r>
      <w:r w:rsidR="005A7A7C" w:rsidRPr="001A6747">
        <w:rPr>
          <w:b/>
          <w:lang w:val="kk-KZ"/>
        </w:rPr>
        <w:t xml:space="preserve">) </w:t>
      </w:r>
      <w:r w:rsidR="005A7A7C" w:rsidRPr="001A6747">
        <w:rPr>
          <w:lang w:val="kk-KZ"/>
        </w:rPr>
        <w:t>ұйымдастыру</w:t>
      </w:r>
      <w:r w:rsidR="005A7A7C" w:rsidRPr="001A6747">
        <w:rPr>
          <w:b/>
          <w:lang w:val="kk-KZ"/>
        </w:rPr>
        <w:t xml:space="preserve">  </w:t>
      </w:r>
      <w:r w:rsidR="005A7A7C" w:rsidRPr="001A6747">
        <w:rPr>
          <w:lang w:val="kk-KZ"/>
        </w:rPr>
        <w:t>тапсырылады.</w:t>
      </w:r>
      <w:r w:rsidR="005A7A7C" w:rsidRPr="001A6747">
        <w:rPr>
          <w:b/>
          <w:lang w:val="kk-KZ"/>
        </w:rPr>
        <w:t xml:space="preserve"> </w:t>
      </w:r>
      <w:r w:rsidR="00054D34" w:rsidRPr="001A6747">
        <w:rPr>
          <w:bCs/>
          <w:i/>
          <w:iCs/>
          <w:lang w:val="kk-KZ"/>
        </w:rPr>
        <w:t>Виктимділік</w:t>
      </w:r>
      <w:r w:rsidR="00054D34" w:rsidRPr="001A6747">
        <w:rPr>
          <w:i/>
          <w:lang w:val="kk-KZ"/>
        </w:rPr>
        <w:t xml:space="preserve"> - өзіне тән қаситтерге не атқаратын қызметіне байланысты тұлғаның қылмыс жәбірленушісіне айналып кету бейімділігі. Ол бейімділік оның өз мінез-құлқына да тәуелді бола алады немесе оған тәуелсіз объективті де өмір сүре алады.</w:t>
      </w:r>
      <w:r w:rsidR="005A7A7C" w:rsidRPr="001A6747">
        <w:rPr>
          <w:b/>
          <w:lang w:val="kk-KZ"/>
        </w:rPr>
        <w:t xml:space="preserve"> </w:t>
      </w:r>
      <w:r w:rsidR="00054D34" w:rsidRPr="001A6747">
        <w:rPr>
          <w:b/>
          <w:lang w:val="kk-KZ"/>
        </w:rPr>
        <w:t xml:space="preserve">  </w:t>
      </w:r>
      <w:r w:rsidR="005A7A7C" w:rsidRPr="001A6747">
        <w:rPr>
          <w:lang w:val="kk-KZ"/>
        </w:rPr>
        <w:t>Магистрант</w:t>
      </w:r>
      <w:r w:rsidR="005A7A7C" w:rsidRPr="001A6747">
        <w:rPr>
          <w:b/>
          <w:lang w:val="kk-KZ"/>
        </w:rPr>
        <w:t xml:space="preserve"> </w:t>
      </w:r>
      <w:r w:rsidR="005A7A7C" w:rsidRPr="001A6747">
        <w:rPr>
          <w:lang w:val="kk-KZ"/>
        </w:rPr>
        <w:t xml:space="preserve">ойбөліс кезінде түрлі тақырыпта сөйлеуге, пікір таластыруға, өз ойын дәлелдеуге, басқаның пікірінің қате екенін дәлелдеуге жаттығу арқылы шебер сөйлеуге төселеді. </w:t>
      </w:r>
      <w:r w:rsidR="005A7A7C" w:rsidRPr="001A6747">
        <w:rPr>
          <w:lang w:val="kk-KZ" w:eastAsia="ko-KR"/>
        </w:rPr>
        <w:t xml:space="preserve"> </w:t>
      </w:r>
    </w:p>
    <w:p w:rsidR="00881F6B" w:rsidRPr="001A6747" w:rsidRDefault="005A7A7C" w:rsidP="00B768F2">
      <w:pPr>
        <w:jc w:val="both"/>
        <w:rPr>
          <w:b/>
          <w:lang w:val="kk-KZ"/>
        </w:rPr>
      </w:pPr>
      <w:r w:rsidRPr="001A6747">
        <w:rPr>
          <w:lang w:val="kk-KZ" w:eastAsia="ko-KR"/>
        </w:rPr>
        <w:t xml:space="preserve">      </w:t>
      </w:r>
      <w:r w:rsidR="00881F6B" w:rsidRPr="001A6747">
        <w:rPr>
          <w:b/>
          <w:lang w:val="kk-KZ"/>
        </w:rPr>
        <w:t xml:space="preserve">    </w:t>
      </w:r>
      <w:r w:rsidR="00B768F2" w:rsidRPr="001A6747">
        <w:rPr>
          <w:b/>
          <w:lang w:val="kk-KZ"/>
        </w:rPr>
        <w:t>МӨЖ</w:t>
      </w:r>
      <w:r w:rsidR="007E35A0" w:rsidRPr="001A6747">
        <w:rPr>
          <w:b/>
          <w:lang w:val="kk-KZ"/>
        </w:rPr>
        <w:t>-3</w:t>
      </w:r>
      <w:r w:rsidR="00B768F2" w:rsidRPr="001A6747">
        <w:rPr>
          <w:b/>
          <w:lang w:val="kk-KZ"/>
        </w:rPr>
        <w:t>.</w:t>
      </w:r>
      <w:r w:rsidR="00B768F2" w:rsidRPr="001A6747">
        <w:rPr>
          <w:lang w:val="kk-KZ"/>
        </w:rPr>
        <w:t xml:space="preserve"> </w:t>
      </w:r>
      <w:r w:rsidR="00881F6B" w:rsidRPr="001A6747">
        <w:rPr>
          <w:b/>
          <w:lang w:val="kk-KZ"/>
        </w:rPr>
        <w:t xml:space="preserve">Отбасындағы виктимділік құрбаны.  </w:t>
      </w:r>
      <w:r w:rsidR="00881F6B" w:rsidRPr="001A6747">
        <w:rPr>
          <w:lang w:val="kk-KZ"/>
        </w:rPr>
        <w:t>Виктимділіктің алдын алу  туралы ата-аналарға арналған ереже құрастыру</w:t>
      </w:r>
      <w:r w:rsidR="00881F6B" w:rsidRPr="001A6747">
        <w:rPr>
          <w:rFonts w:ascii="KZ Times New Roman" w:hAnsi="KZ Times New Roman" w:cs="KZ Times New Roman"/>
          <w:b/>
          <w:lang w:val="kk-KZ"/>
        </w:rPr>
        <w:t xml:space="preserve">  </w:t>
      </w:r>
      <w:r w:rsidR="00054D34" w:rsidRPr="001A6747">
        <w:rPr>
          <w:lang w:val="kk-KZ"/>
        </w:rPr>
        <w:t xml:space="preserve">Тапсырманы орындау  үшін </w:t>
      </w:r>
      <w:r w:rsidR="00685394">
        <w:rPr>
          <w:lang w:val="kk-KZ"/>
        </w:rPr>
        <w:t xml:space="preserve">әлеуметтік педагогтің </w:t>
      </w:r>
      <w:r w:rsidR="00054D34" w:rsidRPr="001A6747">
        <w:rPr>
          <w:lang w:val="kk-KZ"/>
        </w:rPr>
        <w:t xml:space="preserve"> </w:t>
      </w:r>
      <w:r w:rsidR="00685394">
        <w:rPr>
          <w:lang w:val="kk-KZ"/>
        </w:rPr>
        <w:t xml:space="preserve"> жәбірленушілікке бейім </w:t>
      </w:r>
      <w:r w:rsidR="00054D34" w:rsidRPr="001A6747">
        <w:rPr>
          <w:lang w:val="kk-KZ"/>
        </w:rPr>
        <w:t xml:space="preserve"> жасөспірімдермен</w:t>
      </w:r>
      <w:r w:rsidR="00685394">
        <w:rPr>
          <w:lang w:val="kk-KZ"/>
        </w:rPr>
        <w:t xml:space="preserve"> жұмыс барысындағы </w:t>
      </w:r>
      <w:r w:rsidR="00054D34" w:rsidRPr="001A6747">
        <w:rPr>
          <w:lang w:val="kk-KZ"/>
        </w:rPr>
        <w:t xml:space="preserve"> кеңес беру әдістемесін </w:t>
      </w:r>
      <w:r w:rsidR="00685394">
        <w:rPr>
          <w:lang w:val="kk-KZ"/>
        </w:rPr>
        <w:t xml:space="preserve"> негізге алу керек. </w:t>
      </w:r>
    </w:p>
    <w:p w:rsidR="00881F6B" w:rsidRPr="001A6747" w:rsidRDefault="00881F6B" w:rsidP="00B768F2">
      <w:pPr>
        <w:jc w:val="both"/>
        <w:rPr>
          <w:b/>
          <w:lang w:val="kk-KZ"/>
        </w:rPr>
      </w:pPr>
    </w:p>
    <w:p w:rsidR="00881F6B" w:rsidRPr="001A6747" w:rsidRDefault="00881F6B" w:rsidP="00B768F2">
      <w:pPr>
        <w:jc w:val="both"/>
        <w:rPr>
          <w:lang w:val="kk-KZ"/>
        </w:rPr>
      </w:pPr>
      <w:r w:rsidRPr="001A6747">
        <w:rPr>
          <w:b/>
          <w:lang w:val="kk-KZ"/>
        </w:rPr>
        <w:t xml:space="preserve">   </w:t>
      </w:r>
      <w:r w:rsidR="00B768F2" w:rsidRPr="001A6747">
        <w:rPr>
          <w:b/>
          <w:lang w:val="kk-KZ"/>
        </w:rPr>
        <w:t>МӨЖ</w:t>
      </w:r>
      <w:r w:rsidR="007E35A0" w:rsidRPr="001A6747">
        <w:rPr>
          <w:b/>
          <w:lang w:val="kk-KZ"/>
        </w:rPr>
        <w:t>-4</w:t>
      </w:r>
      <w:r w:rsidR="00B768F2" w:rsidRPr="001A6747">
        <w:rPr>
          <w:b/>
          <w:lang w:val="kk-KZ"/>
        </w:rPr>
        <w:t xml:space="preserve">. </w:t>
      </w:r>
      <w:r w:rsidR="00B768F2" w:rsidRPr="001A6747">
        <w:rPr>
          <w:i/>
          <w:lang w:val="kk-KZ" w:eastAsia="en-US"/>
        </w:rPr>
        <w:t>«</w:t>
      </w:r>
      <w:r w:rsidR="007E35A0" w:rsidRPr="001A6747">
        <w:rPr>
          <w:rFonts w:ascii="KZ Times New Roman" w:hAnsi="KZ Times New Roman" w:cs="KZ Times New Roman"/>
          <w:lang w:val="kk-KZ"/>
        </w:rPr>
        <w:t xml:space="preserve">Әлеуметтік-педагогтің  құрбандарға және жәбірленушілерге кеңес беру </w:t>
      </w:r>
      <w:r w:rsidR="007E35A0" w:rsidRPr="001A6747">
        <w:rPr>
          <w:lang w:val="kk-KZ"/>
        </w:rPr>
        <w:t xml:space="preserve">  біліктілігіне қойылатын талаптарды жүйелеп, сызба түрінде </w:t>
      </w:r>
      <w:r w:rsidR="00D45166" w:rsidRPr="001A6747">
        <w:rPr>
          <w:lang w:val="kk-KZ"/>
        </w:rPr>
        <w:t xml:space="preserve">көрсетіңіз. </w:t>
      </w:r>
    </w:p>
    <w:p w:rsidR="00881F6B" w:rsidRPr="001A6747" w:rsidRDefault="00881F6B" w:rsidP="00B768F2">
      <w:pPr>
        <w:jc w:val="both"/>
        <w:rPr>
          <w:lang w:val="kk-KZ"/>
        </w:rPr>
      </w:pPr>
    </w:p>
    <w:p w:rsidR="007E35A0" w:rsidRPr="001A6747" w:rsidRDefault="001A6747" w:rsidP="006F1C6D">
      <w:pPr>
        <w:pStyle w:val="a3"/>
        <w:spacing w:before="0" w:beforeAutospacing="0" w:after="0" w:afterAutospacing="0"/>
        <w:ind w:left="29"/>
        <w:jc w:val="both"/>
        <w:rPr>
          <w:lang w:val="kk-KZ"/>
        </w:rPr>
      </w:pPr>
      <w:r w:rsidRPr="001A6747">
        <w:rPr>
          <w:b/>
          <w:lang w:val="kk-KZ"/>
        </w:rPr>
        <w:lastRenderedPageBreak/>
        <w:t xml:space="preserve">    </w:t>
      </w:r>
      <w:r w:rsidR="00B768F2" w:rsidRPr="001A6747">
        <w:rPr>
          <w:b/>
          <w:lang w:val="kk-KZ"/>
        </w:rPr>
        <w:t>МӨЖ</w:t>
      </w:r>
      <w:r w:rsidR="007E35A0" w:rsidRPr="001A6747">
        <w:rPr>
          <w:b/>
          <w:lang w:val="kk-KZ"/>
        </w:rPr>
        <w:t>-5</w:t>
      </w:r>
      <w:r w:rsidR="00B768F2" w:rsidRPr="001A6747">
        <w:rPr>
          <w:b/>
          <w:lang w:val="kk-KZ"/>
        </w:rPr>
        <w:t>.</w:t>
      </w:r>
      <w:r w:rsidR="00881F6B" w:rsidRPr="001A6747">
        <w:rPr>
          <w:b/>
          <w:lang w:val="kk-KZ"/>
        </w:rPr>
        <w:t xml:space="preserve"> </w:t>
      </w:r>
      <w:r w:rsidR="007E35A0" w:rsidRPr="001A6747">
        <w:rPr>
          <w:rFonts w:ascii="KZ Times New Roman" w:hAnsi="KZ Times New Roman" w:cs="KZ Times New Roman"/>
          <w:b/>
          <w:lang w:val="kk-KZ"/>
        </w:rPr>
        <w:t>« Виктимологиядағы  қорқыныш және стресс</w:t>
      </w:r>
      <w:r w:rsidR="007E35A0" w:rsidRPr="001A6747">
        <w:rPr>
          <w:b/>
          <w:lang w:val="kk-KZ"/>
        </w:rPr>
        <w:t xml:space="preserve">» </w:t>
      </w:r>
      <w:r w:rsidR="007E35A0" w:rsidRPr="001A6747">
        <w:rPr>
          <w:lang w:val="kk-KZ"/>
        </w:rPr>
        <w:t xml:space="preserve">тақырыбында  эссе </w:t>
      </w:r>
      <w:r w:rsidR="00D45166" w:rsidRPr="001A6747">
        <w:rPr>
          <w:lang w:val="kk-KZ"/>
        </w:rPr>
        <w:t xml:space="preserve"> жазу</w:t>
      </w:r>
      <w:r w:rsidR="00ED2F59" w:rsidRPr="001A6747">
        <w:rPr>
          <w:lang w:val="kk-KZ"/>
        </w:rPr>
        <w:t>.</w:t>
      </w:r>
      <w:r w:rsidR="00D45166" w:rsidRPr="001A6747">
        <w:rPr>
          <w:lang w:val="kk-KZ"/>
        </w:rPr>
        <w:t xml:space="preserve"> </w:t>
      </w:r>
      <w:r w:rsidR="006F1C6D" w:rsidRPr="001A6747">
        <w:rPr>
          <w:b/>
          <w:bCs/>
          <w:color w:val="000000"/>
          <w:lang w:val="kk-KZ"/>
        </w:rPr>
        <w:t>Э</w:t>
      </w:r>
      <w:r w:rsidR="006F1C6D" w:rsidRPr="001A6747">
        <w:rPr>
          <w:b/>
          <w:bCs/>
          <w:color w:val="000000"/>
          <w:lang w:val="tr-TR"/>
        </w:rPr>
        <w:t xml:space="preserve">ссе </w:t>
      </w:r>
      <w:r w:rsidR="006F1C6D" w:rsidRPr="001A6747">
        <w:rPr>
          <w:bCs/>
          <w:color w:val="000000"/>
          <w:lang w:val="tr-TR"/>
        </w:rPr>
        <w:t>(фр. « essay » - попытка, проба, очерк)</w:t>
      </w:r>
      <w:r w:rsidR="006F1C6D" w:rsidRPr="001A6747">
        <w:rPr>
          <w:i/>
          <w:color w:val="000000"/>
          <w:lang w:val="tr-TR"/>
        </w:rPr>
        <w:t xml:space="preserve"> -</w:t>
      </w:r>
      <w:r w:rsidR="006F1C6D" w:rsidRPr="001A6747">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Эссе көлемі 3-5 бет. </w:t>
      </w:r>
      <w:r w:rsidR="007E35A0" w:rsidRPr="001A6747">
        <w:rPr>
          <w:lang w:val="kk-KZ"/>
        </w:rPr>
        <w:t xml:space="preserve"> </w:t>
      </w:r>
    </w:p>
    <w:p w:rsidR="001A6747" w:rsidRPr="001A6747" w:rsidRDefault="001A6747" w:rsidP="006F1C6D">
      <w:pPr>
        <w:pStyle w:val="a3"/>
        <w:spacing w:before="0" w:beforeAutospacing="0" w:after="0" w:afterAutospacing="0"/>
        <w:ind w:left="29"/>
        <w:jc w:val="both"/>
        <w:rPr>
          <w:b/>
          <w:lang w:val="kk-KZ"/>
        </w:rPr>
      </w:pPr>
    </w:p>
    <w:p w:rsidR="00B768F2" w:rsidRDefault="001A6747" w:rsidP="006F1C6D">
      <w:pPr>
        <w:pStyle w:val="a3"/>
        <w:spacing w:before="0" w:beforeAutospacing="0" w:after="0" w:afterAutospacing="0"/>
        <w:ind w:left="29"/>
        <w:jc w:val="both"/>
        <w:rPr>
          <w:color w:val="000000"/>
          <w:lang w:val="kk-KZ"/>
        </w:rPr>
      </w:pPr>
      <w:r w:rsidRPr="001A6747">
        <w:rPr>
          <w:b/>
          <w:lang w:val="kk-KZ"/>
        </w:rPr>
        <w:t xml:space="preserve">   </w:t>
      </w:r>
      <w:r w:rsidR="00B768F2" w:rsidRPr="001A6747">
        <w:rPr>
          <w:b/>
          <w:lang w:val="kk-KZ"/>
        </w:rPr>
        <w:t>МӨЖ</w:t>
      </w:r>
      <w:r w:rsidR="007E35A0" w:rsidRPr="001A6747">
        <w:rPr>
          <w:b/>
          <w:lang w:val="kk-KZ"/>
        </w:rPr>
        <w:t>-6</w:t>
      </w:r>
      <w:r w:rsidR="00B768F2" w:rsidRPr="001A6747">
        <w:rPr>
          <w:b/>
          <w:lang w:val="kk-KZ"/>
        </w:rPr>
        <w:t>.</w:t>
      </w:r>
      <w:r w:rsidR="007E35A0" w:rsidRPr="001A6747">
        <w:rPr>
          <w:lang w:val="kk-KZ"/>
        </w:rPr>
        <w:t xml:space="preserve"> </w:t>
      </w:r>
      <w:r w:rsidR="007E35A0" w:rsidRPr="001A6747">
        <w:rPr>
          <w:b/>
          <w:lang w:val="kk-KZ"/>
        </w:rPr>
        <w:t xml:space="preserve">«Латенттік  құрбандармен әлеуметтік-педагогикалық кеңес түрлері» </w:t>
      </w:r>
      <w:r w:rsidR="007E35A0" w:rsidRPr="001A6747">
        <w:rPr>
          <w:lang w:val="kk-KZ"/>
        </w:rPr>
        <w:t xml:space="preserve">бойынша </w:t>
      </w:r>
      <w:r w:rsidR="006F1C6D" w:rsidRPr="001A6747">
        <w:rPr>
          <w:lang w:val="kk-KZ"/>
        </w:rPr>
        <w:t xml:space="preserve">конспект  жазыңыздар. </w:t>
      </w:r>
      <w:r w:rsidR="007E35A0" w:rsidRPr="001A6747">
        <w:rPr>
          <w:lang w:val="kk-KZ"/>
        </w:rPr>
        <w:t xml:space="preserve"> </w:t>
      </w:r>
      <w:r w:rsidR="006F1C6D" w:rsidRPr="001A6747">
        <w:rPr>
          <w:bCs/>
          <w:i/>
          <w:color w:val="000000"/>
          <w:lang w:val="kk-KZ"/>
        </w:rPr>
        <w:t>Конспект</w:t>
      </w:r>
      <w:r w:rsidR="006F1C6D" w:rsidRPr="001A6747">
        <w:rPr>
          <w:b/>
          <w:bCs/>
          <w:color w:val="000000"/>
          <w:lang w:val="kk-KZ"/>
        </w:rPr>
        <w:t xml:space="preserve"> </w:t>
      </w:r>
      <w:r w:rsidR="006F1C6D" w:rsidRPr="001A6747">
        <w:rPr>
          <w:color w:val="000000"/>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D6687C" w:rsidRPr="001A6747" w:rsidRDefault="00D6687C" w:rsidP="006F1C6D">
      <w:pPr>
        <w:pStyle w:val="a3"/>
        <w:spacing w:before="0" w:beforeAutospacing="0" w:after="0" w:afterAutospacing="0"/>
        <w:ind w:left="29"/>
        <w:jc w:val="both"/>
        <w:rPr>
          <w:lang w:val="kk-KZ"/>
        </w:rPr>
      </w:pPr>
    </w:p>
    <w:p w:rsidR="00D6687C" w:rsidRDefault="00D6687C" w:rsidP="001C0761">
      <w:pPr>
        <w:rPr>
          <w:b/>
          <w:lang w:val="kk-KZ"/>
        </w:rPr>
      </w:pPr>
      <w:r w:rsidRPr="00D6687C">
        <w:rPr>
          <w:b/>
          <w:lang w:val="kk-KZ"/>
        </w:rPr>
        <w:t>Әдебиеттер:</w:t>
      </w:r>
    </w:p>
    <w:p w:rsidR="009C55E1" w:rsidRPr="001C0761" w:rsidRDefault="009C55E1" w:rsidP="001C0761">
      <w:pPr>
        <w:pStyle w:val="a5"/>
        <w:numPr>
          <w:ilvl w:val="0"/>
          <w:numId w:val="5"/>
        </w:numPr>
        <w:shd w:val="clear" w:color="auto" w:fill="FFFFFF"/>
        <w:tabs>
          <w:tab w:val="left" w:pos="-335"/>
          <w:tab w:val="left" w:pos="900"/>
          <w:tab w:val="left" w:pos="1080"/>
          <w:tab w:val="left" w:pos="1134"/>
        </w:tabs>
        <w:autoSpaceDE w:val="0"/>
        <w:spacing w:after="100" w:afterAutospacing="1" w:line="216" w:lineRule="atLeast"/>
        <w:jc w:val="both"/>
        <w:rPr>
          <w:rFonts w:ascii="Times New Roman" w:hAnsi="Times New Roman"/>
          <w:color w:val="000000"/>
          <w:sz w:val="24"/>
          <w:szCs w:val="24"/>
        </w:rPr>
      </w:pPr>
      <w:r w:rsidRPr="001C0761">
        <w:rPr>
          <w:rFonts w:ascii="Times New Roman" w:hAnsi="Times New Roman"/>
          <w:sz w:val="24"/>
          <w:szCs w:val="24"/>
        </w:rPr>
        <w:t>Барановский Н. А. Введени</w:t>
      </w:r>
      <w:r w:rsidR="001C0761" w:rsidRPr="001C0761">
        <w:rPr>
          <w:rFonts w:ascii="Times New Roman" w:hAnsi="Times New Roman"/>
          <w:sz w:val="24"/>
          <w:szCs w:val="24"/>
        </w:rPr>
        <w:t xml:space="preserve">е в </w:t>
      </w:r>
      <w:proofErr w:type="spellStart"/>
      <w:proofErr w:type="gramStart"/>
      <w:r w:rsidR="001C0761" w:rsidRPr="001C0761">
        <w:rPr>
          <w:rFonts w:ascii="Times New Roman" w:hAnsi="Times New Roman"/>
          <w:sz w:val="24"/>
          <w:szCs w:val="24"/>
        </w:rPr>
        <w:t>виктимологию:Учеб</w:t>
      </w:r>
      <w:proofErr w:type="gramEnd"/>
      <w:r w:rsidR="001C0761" w:rsidRPr="001C0761">
        <w:rPr>
          <w:rFonts w:ascii="Times New Roman" w:hAnsi="Times New Roman"/>
          <w:sz w:val="24"/>
          <w:szCs w:val="24"/>
        </w:rPr>
        <w:t>-метод</w:t>
      </w:r>
      <w:proofErr w:type="spellEnd"/>
      <w:r w:rsidR="001C0761" w:rsidRPr="001C0761">
        <w:rPr>
          <w:rFonts w:ascii="Times New Roman" w:hAnsi="Times New Roman"/>
          <w:sz w:val="24"/>
          <w:szCs w:val="24"/>
        </w:rPr>
        <w:t>.</w:t>
      </w:r>
      <w:r w:rsidR="001C0761" w:rsidRPr="001C0761">
        <w:rPr>
          <w:rFonts w:ascii="Times New Roman" w:hAnsi="Times New Roman"/>
          <w:sz w:val="24"/>
          <w:szCs w:val="24"/>
          <w:lang w:val="kk-KZ"/>
        </w:rPr>
        <w:t>п</w:t>
      </w:r>
      <w:proofErr w:type="spellStart"/>
      <w:r w:rsidR="001C0761" w:rsidRPr="001C0761">
        <w:rPr>
          <w:rFonts w:ascii="Times New Roman" w:hAnsi="Times New Roman"/>
          <w:sz w:val="24"/>
          <w:szCs w:val="24"/>
        </w:rPr>
        <w:t>особие</w:t>
      </w:r>
      <w:proofErr w:type="spellEnd"/>
      <w:r w:rsidR="001C0761" w:rsidRPr="001C0761">
        <w:rPr>
          <w:rFonts w:ascii="Times New Roman" w:hAnsi="Times New Roman"/>
          <w:sz w:val="24"/>
          <w:szCs w:val="24"/>
        </w:rPr>
        <w:t xml:space="preserve"> /-</w:t>
      </w:r>
      <w:proofErr w:type="spellStart"/>
      <w:r w:rsidR="001C0761" w:rsidRPr="001C0761">
        <w:rPr>
          <w:rFonts w:ascii="Times New Roman" w:hAnsi="Times New Roman"/>
          <w:sz w:val="24"/>
          <w:szCs w:val="24"/>
        </w:rPr>
        <w:t>Мн</w:t>
      </w:r>
      <w:proofErr w:type="spellEnd"/>
      <w:r w:rsidR="001C0761" w:rsidRPr="001C0761">
        <w:rPr>
          <w:rFonts w:ascii="Times New Roman" w:hAnsi="Times New Roman"/>
          <w:sz w:val="24"/>
          <w:szCs w:val="24"/>
        </w:rPr>
        <w:t>.</w:t>
      </w:r>
      <w:r w:rsidRPr="001C0761">
        <w:rPr>
          <w:rFonts w:ascii="Times New Roman" w:hAnsi="Times New Roman"/>
          <w:sz w:val="24"/>
          <w:szCs w:val="24"/>
        </w:rPr>
        <w:t>«БИП-С», 2002</w:t>
      </w:r>
    </w:p>
    <w:p w:rsidR="00D6687C" w:rsidRPr="001C0761" w:rsidRDefault="00D6687C" w:rsidP="001C0761">
      <w:pPr>
        <w:pStyle w:val="a5"/>
        <w:numPr>
          <w:ilvl w:val="0"/>
          <w:numId w:val="5"/>
        </w:numPr>
        <w:shd w:val="clear" w:color="auto" w:fill="FFFFFF"/>
        <w:spacing w:after="100" w:afterAutospacing="1" w:line="216" w:lineRule="atLeast"/>
        <w:jc w:val="both"/>
        <w:rPr>
          <w:rFonts w:ascii="Times New Roman" w:hAnsi="Times New Roman"/>
          <w:color w:val="666666"/>
          <w:sz w:val="24"/>
          <w:szCs w:val="24"/>
          <w:lang w:val="kk-KZ"/>
        </w:rPr>
      </w:pPr>
      <w:r w:rsidRPr="001C0761">
        <w:rPr>
          <w:rFonts w:ascii="Times New Roman" w:hAnsi="Times New Roman"/>
          <w:sz w:val="24"/>
          <w:szCs w:val="24"/>
          <w:lang w:val="kk-KZ"/>
        </w:rPr>
        <w:t xml:space="preserve">Халитова І.Әлеуметтік педагогика:Оқу құралы. Алматы: «Білім» баспасы, 2007.-200 бет  </w:t>
      </w:r>
    </w:p>
    <w:p w:rsidR="009C55E1" w:rsidRPr="001C0761" w:rsidRDefault="009C55E1" w:rsidP="001C0761">
      <w:pPr>
        <w:pStyle w:val="a5"/>
        <w:numPr>
          <w:ilvl w:val="0"/>
          <w:numId w:val="5"/>
        </w:numPr>
        <w:shd w:val="clear" w:color="auto" w:fill="FFFFFF"/>
        <w:spacing w:after="100" w:afterAutospacing="1" w:line="216" w:lineRule="atLeast"/>
        <w:jc w:val="both"/>
        <w:rPr>
          <w:rFonts w:ascii="Times New Roman" w:hAnsi="Times New Roman"/>
          <w:color w:val="666666"/>
          <w:sz w:val="24"/>
          <w:szCs w:val="24"/>
          <w:lang w:val="kk-KZ"/>
        </w:rPr>
      </w:pPr>
      <w:r w:rsidRPr="001C0761">
        <w:rPr>
          <w:rFonts w:ascii="Times New Roman" w:hAnsi="Times New Roman"/>
          <w:sz w:val="24"/>
          <w:szCs w:val="24"/>
        </w:rPr>
        <w:t xml:space="preserve">Основы социально-педагогической </w:t>
      </w:r>
      <w:proofErr w:type="spellStart"/>
      <w:r w:rsidRPr="001C0761">
        <w:rPr>
          <w:rFonts w:ascii="Times New Roman" w:hAnsi="Times New Roman"/>
          <w:sz w:val="24"/>
          <w:szCs w:val="24"/>
        </w:rPr>
        <w:t>виктимологии</w:t>
      </w:r>
      <w:proofErr w:type="spellEnd"/>
      <w:r w:rsidRPr="001C0761">
        <w:rPr>
          <w:rFonts w:ascii="Times New Roman" w:hAnsi="Times New Roman"/>
          <w:sz w:val="24"/>
          <w:szCs w:val="24"/>
        </w:rPr>
        <w:t xml:space="preserve">: Учебное пособие // Сост. Н. И. </w:t>
      </w:r>
      <w:proofErr w:type="spellStart"/>
      <w:r w:rsidRPr="001C0761">
        <w:rPr>
          <w:rFonts w:ascii="Times New Roman" w:hAnsi="Times New Roman"/>
          <w:sz w:val="24"/>
          <w:szCs w:val="24"/>
        </w:rPr>
        <w:t>Бумаженко</w:t>
      </w:r>
      <w:proofErr w:type="spellEnd"/>
      <w:r w:rsidRPr="001C0761">
        <w:rPr>
          <w:rFonts w:ascii="Times New Roman" w:hAnsi="Times New Roman"/>
          <w:sz w:val="24"/>
          <w:szCs w:val="24"/>
        </w:rPr>
        <w:t xml:space="preserve">. – Витебск: Изд. УО «ВГУ им. П. М. </w:t>
      </w:r>
      <w:proofErr w:type="spellStart"/>
      <w:r w:rsidRPr="001C0761">
        <w:rPr>
          <w:rFonts w:ascii="Times New Roman" w:hAnsi="Times New Roman"/>
          <w:sz w:val="24"/>
          <w:szCs w:val="24"/>
        </w:rPr>
        <w:t>Машерова</w:t>
      </w:r>
      <w:proofErr w:type="spellEnd"/>
      <w:r w:rsidRPr="001C0761">
        <w:rPr>
          <w:rFonts w:ascii="Times New Roman" w:hAnsi="Times New Roman"/>
          <w:sz w:val="24"/>
          <w:szCs w:val="24"/>
        </w:rPr>
        <w:t>», 2005.</w:t>
      </w:r>
    </w:p>
    <w:p w:rsidR="00D6687C" w:rsidRPr="001C0761" w:rsidRDefault="009C55E1" w:rsidP="001C0761">
      <w:pPr>
        <w:pStyle w:val="a5"/>
        <w:numPr>
          <w:ilvl w:val="0"/>
          <w:numId w:val="5"/>
        </w:numPr>
        <w:shd w:val="clear" w:color="auto" w:fill="FFFFFF"/>
        <w:tabs>
          <w:tab w:val="left" w:pos="-335"/>
          <w:tab w:val="left" w:pos="900"/>
          <w:tab w:val="left" w:pos="1080"/>
          <w:tab w:val="left" w:pos="1134"/>
        </w:tabs>
        <w:autoSpaceDE w:val="0"/>
        <w:spacing w:after="100" w:afterAutospacing="1" w:line="216" w:lineRule="atLeast"/>
        <w:jc w:val="both"/>
        <w:rPr>
          <w:rFonts w:ascii="Times New Roman" w:hAnsi="Times New Roman"/>
          <w:color w:val="000000"/>
          <w:sz w:val="24"/>
          <w:szCs w:val="24"/>
          <w:lang w:val="kk-KZ"/>
        </w:rPr>
      </w:pPr>
      <w:r w:rsidRPr="001C0761">
        <w:rPr>
          <w:rFonts w:ascii="Times New Roman" w:hAnsi="Times New Roman"/>
          <w:sz w:val="24"/>
          <w:szCs w:val="24"/>
        </w:rPr>
        <w:t xml:space="preserve">Ривман Д. </w:t>
      </w:r>
      <w:proofErr w:type="gramStart"/>
      <w:r w:rsidRPr="001C0761">
        <w:rPr>
          <w:rFonts w:ascii="Times New Roman" w:hAnsi="Times New Roman"/>
          <w:sz w:val="24"/>
          <w:szCs w:val="24"/>
        </w:rPr>
        <w:t>В. ,Уст</w:t>
      </w:r>
      <w:r w:rsidR="00D6687C" w:rsidRPr="001C0761">
        <w:rPr>
          <w:rFonts w:ascii="Times New Roman" w:hAnsi="Times New Roman"/>
          <w:sz w:val="24"/>
          <w:szCs w:val="24"/>
        </w:rPr>
        <w:t>инов</w:t>
      </w:r>
      <w:proofErr w:type="gramEnd"/>
      <w:r w:rsidR="00D6687C" w:rsidRPr="001C0761">
        <w:rPr>
          <w:rFonts w:ascii="Times New Roman" w:hAnsi="Times New Roman"/>
          <w:sz w:val="24"/>
          <w:szCs w:val="24"/>
        </w:rPr>
        <w:t xml:space="preserve"> </w:t>
      </w:r>
      <w:proofErr w:type="spellStart"/>
      <w:r w:rsidR="00D6687C" w:rsidRPr="001C0761">
        <w:rPr>
          <w:rFonts w:ascii="Times New Roman" w:hAnsi="Times New Roman"/>
          <w:sz w:val="24"/>
          <w:szCs w:val="24"/>
        </w:rPr>
        <w:t>В.С.Виктимология</w:t>
      </w:r>
      <w:proofErr w:type="spellEnd"/>
      <w:r w:rsidR="00D6687C" w:rsidRPr="001C0761">
        <w:rPr>
          <w:rFonts w:ascii="Times New Roman" w:hAnsi="Times New Roman"/>
          <w:sz w:val="24"/>
          <w:szCs w:val="24"/>
        </w:rPr>
        <w:t xml:space="preserve">. СПб. </w:t>
      </w:r>
      <w:proofErr w:type="gramStart"/>
      <w:r w:rsidR="00D6687C" w:rsidRPr="001C0761">
        <w:rPr>
          <w:rFonts w:ascii="Times New Roman" w:hAnsi="Times New Roman"/>
          <w:sz w:val="24"/>
          <w:szCs w:val="24"/>
        </w:rPr>
        <w:t>:</w:t>
      </w:r>
      <w:proofErr w:type="spellStart"/>
      <w:r w:rsidR="00D6687C" w:rsidRPr="001C0761">
        <w:rPr>
          <w:rFonts w:ascii="Times New Roman" w:hAnsi="Times New Roman"/>
          <w:sz w:val="24"/>
          <w:szCs w:val="24"/>
        </w:rPr>
        <w:t>Изд.</w:t>
      </w:r>
      <w:proofErr w:type="gramEnd"/>
      <w:r w:rsidRPr="001C0761">
        <w:rPr>
          <w:rFonts w:ascii="Times New Roman" w:hAnsi="Times New Roman"/>
          <w:sz w:val="24"/>
          <w:szCs w:val="24"/>
        </w:rPr>
        <w:t>«Юридический</w:t>
      </w:r>
      <w:proofErr w:type="spellEnd"/>
      <w:r w:rsidRPr="001C0761">
        <w:rPr>
          <w:rFonts w:ascii="Times New Roman" w:hAnsi="Times New Roman"/>
          <w:sz w:val="24"/>
          <w:szCs w:val="24"/>
        </w:rPr>
        <w:t xml:space="preserve"> центр Пресс», 2000.</w:t>
      </w:r>
      <w:r w:rsidR="00D6687C" w:rsidRPr="001C0761">
        <w:rPr>
          <w:rFonts w:ascii="Times New Roman" w:hAnsi="Times New Roman"/>
          <w:sz w:val="24"/>
          <w:szCs w:val="24"/>
          <w:lang w:val="kk-KZ"/>
        </w:rPr>
        <w:t xml:space="preserve"> </w:t>
      </w:r>
    </w:p>
    <w:p w:rsidR="001C0761" w:rsidRPr="001C0761" w:rsidRDefault="00D6687C" w:rsidP="001C0761">
      <w:pPr>
        <w:pStyle w:val="a5"/>
        <w:numPr>
          <w:ilvl w:val="0"/>
          <w:numId w:val="5"/>
        </w:numPr>
        <w:shd w:val="clear" w:color="auto" w:fill="FFFFFF"/>
        <w:tabs>
          <w:tab w:val="left" w:pos="-335"/>
          <w:tab w:val="left" w:pos="900"/>
          <w:tab w:val="left" w:pos="1080"/>
          <w:tab w:val="left" w:pos="1134"/>
        </w:tabs>
        <w:autoSpaceDE w:val="0"/>
        <w:spacing w:after="100" w:afterAutospacing="1" w:line="216" w:lineRule="atLeast"/>
        <w:jc w:val="both"/>
        <w:rPr>
          <w:rFonts w:ascii="Times New Roman" w:hAnsi="Times New Roman"/>
          <w:sz w:val="24"/>
          <w:szCs w:val="24"/>
          <w:lang w:val="kk-KZ"/>
        </w:rPr>
      </w:pPr>
      <w:r w:rsidRPr="001C0761">
        <w:rPr>
          <w:rFonts w:ascii="Times New Roman" w:hAnsi="Times New Roman"/>
          <w:sz w:val="24"/>
          <w:szCs w:val="24"/>
          <w:lang w:val="kk-KZ"/>
        </w:rPr>
        <w:t xml:space="preserve">Айтбаева А. Б. Әлеуметтік педагогика негіздері: оқу құралы.- Алматы, Қазақ университеті, 2011.-165бет. </w:t>
      </w:r>
    </w:p>
    <w:p w:rsidR="009C55E1" w:rsidRPr="001C0761" w:rsidRDefault="009C55E1" w:rsidP="001C0761">
      <w:pPr>
        <w:pStyle w:val="a5"/>
        <w:numPr>
          <w:ilvl w:val="0"/>
          <w:numId w:val="5"/>
        </w:numPr>
        <w:shd w:val="clear" w:color="auto" w:fill="FFFFFF"/>
        <w:tabs>
          <w:tab w:val="left" w:pos="-335"/>
          <w:tab w:val="left" w:pos="900"/>
          <w:tab w:val="left" w:pos="1080"/>
          <w:tab w:val="left" w:pos="1134"/>
        </w:tabs>
        <w:autoSpaceDE w:val="0"/>
        <w:spacing w:after="100" w:afterAutospacing="1" w:line="216" w:lineRule="atLeast"/>
        <w:jc w:val="both"/>
        <w:rPr>
          <w:rFonts w:ascii="Times New Roman" w:hAnsi="Times New Roman"/>
          <w:b/>
          <w:bCs/>
          <w:sz w:val="24"/>
          <w:szCs w:val="24"/>
          <w:lang w:val="kk-KZ"/>
        </w:rPr>
      </w:pPr>
      <w:r w:rsidRPr="001C0761">
        <w:rPr>
          <w:rFonts w:ascii="Times New Roman" w:hAnsi="Times New Roman"/>
          <w:sz w:val="24"/>
          <w:szCs w:val="24"/>
          <w:lang w:val="kk-KZ"/>
        </w:rPr>
        <w:t xml:space="preserve">Журлова, И. В.  Социально-педагогическая виктимология : курс лекций / И. В. Журлова. – Мозырь : УО МГПУ им. И. П. Шамякина, 2010. – 172 с.   </w:t>
      </w:r>
    </w:p>
    <w:p w:rsidR="00D6687C" w:rsidRPr="001C0761" w:rsidRDefault="00C16E04" w:rsidP="001C0761">
      <w:pPr>
        <w:pStyle w:val="a5"/>
        <w:numPr>
          <w:ilvl w:val="0"/>
          <w:numId w:val="5"/>
        </w:numPr>
        <w:shd w:val="clear" w:color="auto" w:fill="FFFFFF"/>
        <w:spacing w:after="100" w:afterAutospacing="1" w:line="216" w:lineRule="atLeast"/>
        <w:jc w:val="both"/>
        <w:rPr>
          <w:rFonts w:ascii="Times New Roman" w:hAnsi="Times New Roman"/>
          <w:color w:val="666666"/>
          <w:sz w:val="24"/>
          <w:szCs w:val="24"/>
          <w:lang w:val="kk-KZ"/>
        </w:rPr>
      </w:pPr>
      <w:r w:rsidRPr="001C0761">
        <w:rPr>
          <w:rFonts w:ascii="Times New Roman" w:hAnsi="Times New Roman"/>
          <w:sz w:val="24"/>
          <w:szCs w:val="24"/>
          <w:lang w:val="kk-KZ"/>
        </w:rPr>
        <w:t>Жұмағали А. Криминология: Оқулық. – Алматы: «Нур-Пресс», 2005. –</w:t>
      </w:r>
      <w:r w:rsidR="009C55E1" w:rsidRPr="001C0761">
        <w:rPr>
          <w:rFonts w:ascii="Times New Roman" w:hAnsi="Times New Roman"/>
          <w:sz w:val="24"/>
          <w:szCs w:val="24"/>
          <w:lang w:val="kk-KZ"/>
        </w:rPr>
        <w:t xml:space="preserve"> </w:t>
      </w:r>
      <w:r w:rsidRPr="001C0761">
        <w:rPr>
          <w:rFonts w:ascii="Times New Roman" w:hAnsi="Times New Roman"/>
          <w:sz w:val="24"/>
          <w:szCs w:val="24"/>
          <w:lang w:val="kk-KZ"/>
        </w:rPr>
        <w:t>90</w:t>
      </w:r>
      <w:r w:rsidR="009C55E1" w:rsidRPr="001C0761">
        <w:rPr>
          <w:rFonts w:ascii="Times New Roman" w:hAnsi="Times New Roman"/>
          <w:sz w:val="24"/>
          <w:szCs w:val="24"/>
          <w:lang w:val="kk-KZ"/>
        </w:rPr>
        <w:t xml:space="preserve">бет </w:t>
      </w:r>
      <w:r w:rsidRPr="001C0761">
        <w:rPr>
          <w:rFonts w:ascii="Times New Roman" w:hAnsi="Times New Roman"/>
          <w:sz w:val="24"/>
          <w:szCs w:val="24"/>
          <w:lang w:val="kk-KZ"/>
        </w:rPr>
        <w:t xml:space="preserve">. </w:t>
      </w:r>
    </w:p>
    <w:p w:rsidR="00C16E04" w:rsidRPr="00D6687C" w:rsidRDefault="00C16E04" w:rsidP="00C16E04">
      <w:pPr>
        <w:jc w:val="both"/>
        <w:rPr>
          <w:lang w:val="kk-KZ"/>
        </w:rPr>
      </w:pPr>
    </w:p>
    <w:p w:rsidR="002F06FE" w:rsidRPr="00D6687C" w:rsidRDefault="002F06FE" w:rsidP="00C16E04">
      <w:pPr>
        <w:rPr>
          <w:lang w:val="kk-KZ"/>
        </w:rPr>
      </w:pPr>
    </w:p>
    <w:sectPr w:rsidR="002F06FE" w:rsidRPr="00D66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FB9"/>
    <w:multiLevelType w:val="hybridMultilevel"/>
    <w:tmpl w:val="B090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5BD"/>
    <w:multiLevelType w:val="hybridMultilevel"/>
    <w:tmpl w:val="67F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A40FF6"/>
    <w:multiLevelType w:val="hybridMultilevel"/>
    <w:tmpl w:val="F518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E01AF"/>
    <w:multiLevelType w:val="hybridMultilevel"/>
    <w:tmpl w:val="963C1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662069"/>
    <w:multiLevelType w:val="hybridMultilevel"/>
    <w:tmpl w:val="97CC0A00"/>
    <w:lvl w:ilvl="0" w:tplc="EDDA4D0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2E"/>
    <w:rsid w:val="00054D34"/>
    <w:rsid w:val="000E4FEA"/>
    <w:rsid w:val="001A6747"/>
    <w:rsid w:val="001C0761"/>
    <w:rsid w:val="00224199"/>
    <w:rsid w:val="002F06FE"/>
    <w:rsid w:val="003B1E2B"/>
    <w:rsid w:val="00567D7F"/>
    <w:rsid w:val="005A7A7C"/>
    <w:rsid w:val="00685394"/>
    <w:rsid w:val="006F1C6D"/>
    <w:rsid w:val="00700F6B"/>
    <w:rsid w:val="00776CAD"/>
    <w:rsid w:val="007E35A0"/>
    <w:rsid w:val="00881F6B"/>
    <w:rsid w:val="009C0B2E"/>
    <w:rsid w:val="009C55E1"/>
    <w:rsid w:val="00B768F2"/>
    <w:rsid w:val="00C16E04"/>
    <w:rsid w:val="00C85847"/>
    <w:rsid w:val="00D45166"/>
    <w:rsid w:val="00D6687C"/>
    <w:rsid w:val="00E1784A"/>
    <w:rsid w:val="00E64FD9"/>
    <w:rsid w:val="00EB7C0C"/>
    <w:rsid w:val="00ED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897C"/>
  <w15:docId w15:val="{C785426A-5A48-4994-A320-BFF96E8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6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8F2"/>
    <w:pPr>
      <w:spacing w:before="100" w:beforeAutospacing="1" w:after="100" w:afterAutospacing="1"/>
    </w:pPr>
  </w:style>
  <w:style w:type="paragraph" w:styleId="a4">
    <w:name w:val="No Spacing"/>
    <w:uiPriority w:val="1"/>
    <w:qFormat/>
    <w:rsid w:val="000E4FEA"/>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qFormat/>
    <w:rsid w:val="00567D7F"/>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567D7F"/>
    <w:rPr>
      <w:rFonts w:ascii="Calibri" w:eastAsia="Calibri" w:hAnsi="Calibri" w:cs="Times New Roman"/>
    </w:rPr>
  </w:style>
  <w:style w:type="table" w:styleId="a7">
    <w:name w:val="Table Grid"/>
    <w:basedOn w:val="a1"/>
    <w:uiPriority w:val="39"/>
    <w:rsid w:val="00E178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2473">
      <w:bodyDiv w:val="1"/>
      <w:marLeft w:val="0"/>
      <w:marRight w:val="0"/>
      <w:marTop w:val="0"/>
      <w:marBottom w:val="0"/>
      <w:divBdr>
        <w:top w:val="none" w:sz="0" w:space="0" w:color="auto"/>
        <w:left w:val="none" w:sz="0" w:space="0" w:color="auto"/>
        <w:bottom w:val="none" w:sz="0" w:space="0" w:color="auto"/>
        <w:right w:val="none" w:sz="0" w:space="0" w:color="auto"/>
      </w:divBdr>
    </w:div>
    <w:div w:id="397674718">
      <w:bodyDiv w:val="1"/>
      <w:marLeft w:val="0"/>
      <w:marRight w:val="0"/>
      <w:marTop w:val="0"/>
      <w:marBottom w:val="0"/>
      <w:divBdr>
        <w:top w:val="none" w:sz="0" w:space="0" w:color="auto"/>
        <w:left w:val="none" w:sz="0" w:space="0" w:color="auto"/>
        <w:bottom w:val="none" w:sz="0" w:space="0" w:color="auto"/>
        <w:right w:val="none" w:sz="0" w:space="0" w:color="auto"/>
      </w:divBdr>
    </w:div>
    <w:div w:id="572088519">
      <w:bodyDiv w:val="1"/>
      <w:marLeft w:val="0"/>
      <w:marRight w:val="0"/>
      <w:marTop w:val="0"/>
      <w:marBottom w:val="0"/>
      <w:divBdr>
        <w:top w:val="none" w:sz="0" w:space="0" w:color="auto"/>
        <w:left w:val="none" w:sz="0" w:space="0" w:color="auto"/>
        <w:bottom w:val="none" w:sz="0" w:space="0" w:color="auto"/>
        <w:right w:val="none" w:sz="0" w:space="0" w:color="auto"/>
      </w:divBdr>
    </w:div>
    <w:div w:id="602539192">
      <w:bodyDiv w:val="1"/>
      <w:marLeft w:val="0"/>
      <w:marRight w:val="0"/>
      <w:marTop w:val="0"/>
      <w:marBottom w:val="0"/>
      <w:divBdr>
        <w:top w:val="none" w:sz="0" w:space="0" w:color="auto"/>
        <w:left w:val="none" w:sz="0" w:space="0" w:color="auto"/>
        <w:bottom w:val="none" w:sz="0" w:space="0" w:color="auto"/>
        <w:right w:val="none" w:sz="0" w:space="0" w:color="auto"/>
      </w:divBdr>
    </w:div>
    <w:div w:id="1005133750">
      <w:bodyDiv w:val="1"/>
      <w:marLeft w:val="0"/>
      <w:marRight w:val="0"/>
      <w:marTop w:val="0"/>
      <w:marBottom w:val="0"/>
      <w:divBdr>
        <w:top w:val="none" w:sz="0" w:space="0" w:color="auto"/>
        <w:left w:val="none" w:sz="0" w:space="0" w:color="auto"/>
        <w:bottom w:val="none" w:sz="0" w:space="0" w:color="auto"/>
        <w:right w:val="none" w:sz="0" w:space="0" w:color="auto"/>
      </w:divBdr>
    </w:div>
    <w:div w:id="1159616684">
      <w:bodyDiv w:val="1"/>
      <w:marLeft w:val="0"/>
      <w:marRight w:val="0"/>
      <w:marTop w:val="0"/>
      <w:marBottom w:val="0"/>
      <w:divBdr>
        <w:top w:val="none" w:sz="0" w:space="0" w:color="auto"/>
        <w:left w:val="none" w:sz="0" w:space="0" w:color="auto"/>
        <w:bottom w:val="none" w:sz="0" w:space="0" w:color="auto"/>
        <w:right w:val="none" w:sz="0" w:space="0" w:color="auto"/>
      </w:divBdr>
    </w:div>
    <w:div w:id="19695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25</cp:revision>
  <dcterms:created xsi:type="dcterms:W3CDTF">2014-10-10T18:01:00Z</dcterms:created>
  <dcterms:modified xsi:type="dcterms:W3CDTF">2020-10-26T15:43:00Z</dcterms:modified>
</cp:coreProperties>
</file>